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A61AD0" w:rsidRDefault="00045107" w:rsidP="00A61AD0">
      <w:pPr>
        <w:spacing w:after="0" w:line="320" w:lineRule="exact"/>
        <w:ind w:right="-2"/>
        <w:jc w:val="center"/>
      </w:pPr>
      <w:r>
        <w:t>«</w:t>
      </w:r>
      <w:r w:rsidR="00A61AD0">
        <w:t xml:space="preserve">Техническое перевооружение устройств электроснабжения </w:t>
      </w:r>
    </w:p>
    <w:p w:rsidR="00045107" w:rsidRDefault="00A61AD0" w:rsidP="00A61AD0">
      <w:pPr>
        <w:spacing w:after="0" w:line="320" w:lineRule="exact"/>
        <w:ind w:right="-2"/>
        <w:jc w:val="center"/>
      </w:pPr>
      <w:r>
        <w:t>ст. Белинская ЛЭП до 1 кВ воздушная на деревянных опорах</w:t>
      </w:r>
      <w:r w:rsidR="00045107"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</w:t>
      </w:r>
      <w:r w:rsidR="00A61AD0">
        <w:t>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12ACF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61AD0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2025-10-29T11:27:00Z</dcterms:modified>
</cp:coreProperties>
</file>